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91789" w:rsidRDefault="00000000">
      <w:pPr>
        <w:pStyle w:val="Heading1"/>
        <w:rPr>
          <w:sz w:val="24"/>
          <w:szCs w:val="24"/>
        </w:rPr>
      </w:pPr>
      <w:r>
        <w:rPr>
          <w:sz w:val="24"/>
          <w:szCs w:val="24"/>
        </w:rPr>
        <w:t>Standard Operating Procedure</w:t>
      </w:r>
    </w:p>
    <w:p w:rsidR="00491789" w:rsidRDefault="00491789">
      <w:pPr>
        <w:rPr>
          <w:rFonts w:ascii="Arial" w:eastAsia="Arial" w:hAnsi="Arial" w:cs="Arial"/>
        </w:rPr>
      </w:pPr>
    </w:p>
    <w:p w:rsidR="00491789" w:rsidRDefault="00000000">
      <w:pPr>
        <w:pStyle w:val="Heading2"/>
        <w:rPr>
          <w:sz w:val="24"/>
          <w:szCs w:val="24"/>
        </w:rPr>
      </w:pPr>
      <w:r>
        <w:rPr>
          <w:sz w:val="24"/>
          <w:szCs w:val="24"/>
        </w:rPr>
        <w:t>1.</w:t>
      </w:r>
      <w:r>
        <w:rPr>
          <w:sz w:val="24"/>
          <w:szCs w:val="24"/>
        </w:rPr>
        <w:tab/>
        <w:t>Purpose</w:t>
      </w:r>
    </w:p>
    <w:p w:rsidR="00491789" w:rsidRDefault="00000000">
      <w:pPr>
        <w:rPr>
          <w:rFonts w:ascii="Arial" w:eastAsia="Arial" w:hAnsi="Arial" w:cs="Arial"/>
          <w:sz w:val="18"/>
          <w:szCs w:val="18"/>
        </w:rPr>
      </w:pPr>
      <w:r>
        <w:rPr>
          <w:rFonts w:ascii="Roboto" w:eastAsia="Roboto" w:hAnsi="Roboto" w:cs="Roboto"/>
          <w:color w:val="202124"/>
          <w:highlight w:val="white"/>
        </w:rPr>
        <w:t xml:space="preserve">How to properly parallel the Anilox roller in a print </w:t>
      </w:r>
      <w:r w:rsidR="002E624C">
        <w:rPr>
          <w:rFonts w:ascii="Roboto" w:eastAsia="Roboto" w:hAnsi="Roboto" w:cs="Roboto"/>
          <w:color w:val="202124"/>
          <w:highlight w:val="white"/>
        </w:rPr>
        <w:t>section.</w:t>
      </w:r>
      <w:r>
        <w:rPr>
          <w:rFonts w:ascii="Roboto" w:eastAsia="Roboto" w:hAnsi="Roboto" w:cs="Roboto"/>
          <w:color w:val="202124"/>
          <w:highlight w:val="white"/>
        </w:rPr>
        <w:t xml:space="preserve"> This procedure can be used on any print section on the machine. This will help you parallel the Anilox roll and make sure that you are getting pressure evenly across the entire section.</w:t>
      </w:r>
    </w:p>
    <w:p w:rsidR="00491789" w:rsidRDefault="00491789">
      <w:pPr>
        <w:rPr>
          <w:rFonts w:ascii="Arial" w:eastAsia="Arial" w:hAnsi="Arial" w:cs="Arial"/>
        </w:rPr>
      </w:pPr>
    </w:p>
    <w:p w:rsidR="00491789" w:rsidRDefault="00000000">
      <w:pPr>
        <w:pStyle w:val="Heading2"/>
        <w:rPr>
          <w:sz w:val="24"/>
          <w:szCs w:val="24"/>
        </w:rPr>
      </w:pPr>
      <w:r>
        <w:rPr>
          <w:sz w:val="24"/>
          <w:szCs w:val="24"/>
        </w:rPr>
        <w:t>2.</w:t>
      </w:r>
      <w:r>
        <w:rPr>
          <w:sz w:val="24"/>
          <w:szCs w:val="24"/>
        </w:rPr>
        <w:tab/>
        <w:t>Scope</w:t>
      </w:r>
    </w:p>
    <w:p w:rsidR="00491789" w:rsidRDefault="00000000">
      <w:pPr>
        <w:rPr>
          <w:rFonts w:ascii="Arial" w:eastAsia="Arial" w:hAnsi="Arial" w:cs="Arial"/>
          <w:sz w:val="18"/>
          <w:szCs w:val="18"/>
        </w:rPr>
      </w:pPr>
      <w:r>
        <w:rPr>
          <w:rFonts w:ascii="Roboto" w:eastAsia="Roboto" w:hAnsi="Roboto" w:cs="Roboto"/>
          <w:color w:val="202124"/>
          <w:highlight w:val="white"/>
        </w:rPr>
        <w:t>This is to be used by Thacker Machinery/SRPACK employees and/or any personnel that need the proper way to parallel and ZERO the Anilox roll on the print section on their machine.</w:t>
      </w:r>
    </w:p>
    <w:p w:rsidR="00491789" w:rsidRDefault="00491789">
      <w:pPr>
        <w:rPr>
          <w:rFonts w:ascii="Arial" w:eastAsia="Arial" w:hAnsi="Arial" w:cs="Arial"/>
        </w:rPr>
      </w:pPr>
    </w:p>
    <w:p w:rsidR="00491789" w:rsidRDefault="00000000">
      <w:pPr>
        <w:pStyle w:val="Heading2"/>
      </w:pPr>
      <w:r>
        <w:rPr>
          <w:sz w:val="24"/>
          <w:szCs w:val="24"/>
        </w:rPr>
        <w:t>3.</w:t>
      </w:r>
      <w:r>
        <w:rPr>
          <w:sz w:val="24"/>
          <w:szCs w:val="24"/>
        </w:rPr>
        <w:tab/>
        <w:t>Prerequisites</w:t>
      </w:r>
    </w:p>
    <w:p w:rsidR="00491789" w:rsidRDefault="00000000">
      <w:pPr>
        <w:rPr>
          <w:rFonts w:ascii="Arial" w:eastAsia="Arial" w:hAnsi="Arial" w:cs="Arial"/>
        </w:rPr>
      </w:pPr>
      <w:r>
        <w:rPr>
          <w:rFonts w:ascii="Arial" w:eastAsia="Arial" w:hAnsi="Arial" w:cs="Arial"/>
          <w:b/>
        </w:rPr>
        <w:t>Tools Needed:</w:t>
      </w:r>
      <w:r>
        <w:rPr>
          <w:rFonts w:ascii="Arial" w:eastAsia="Arial" w:hAnsi="Arial" w:cs="Arial"/>
        </w:rPr>
        <w:t xml:space="preserve"> 7.2 MM Gauge, 24MM Wrench or Crescent Wrench. (Some printers use a .250 print plate or smaller, use this number as a gauge)</w:t>
      </w:r>
    </w:p>
    <w:p w:rsidR="00491789" w:rsidRDefault="00000000">
      <w:pPr>
        <w:rPr>
          <w:rFonts w:ascii="Arial" w:eastAsia="Arial" w:hAnsi="Arial" w:cs="Arial"/>
        </w:rPr>
      </w:pPr>
      <w:r>
        <w:rPr>
          <w:rFonts w:ascii="Arial" w:eastAsia="Arial" w:hAnsi="Arial" w:cs="Arial"/>
        </w:rPr>
        <w:t>Machine must be opened and not currently running. Machine must have power and air in order for the Anilox roller to engage.</w:t>
      </w:r>
    </w:p>
    <w:p w:rsidR="00491789" w:rsidRDefault="00491789">
      <w:pPr>
        <w:pStyle w:val="Heading2"/>
        <w:rPr>
          <w:sz w:val="24"/>
          <w:szCs w:val="24"/>
        </w:rPr>
      </w:pPr>
    </w:p>
    <w:p w:rsidR="00491789" w:rsidRDefault="00000000">
      <w:pPr>
        <w:pStyle w:val="Heading2"/>
        <w:rPr>
          <w:sz w:val="24"/>
          <w:szCs w:val="24"/>
        </w:rPr>
      </w:pPr>
      <w:r>
        <w:rPr>
          <w:sz w:val="24"/>
          <w:szCs w:val="24"/>
        </w:rPr>
        <w:t>4.</w:t>
      </w:r>
      <w:r>
        <w:rPr>
          <w:sz w:val="24"/>
          <w:szCs w:val="24"/>
        </w:rPr>
        <w:tab/>
        <w:t>Procedure</w:t>
      </w:r>
    </w:p>
    <w:p w:rsidR="00491789" w:rsidRDefault="00000000">
      <w:pPr>
        <w:numPr>
          <w:ilvl w:val="0"/>
          <w:numId w:val="1"/>
        </w:numPr>
        <w:rPr>
          <w:rFonts w:ascii="Arial" w:eastAsia="Arial" w:hAnsi="Arial" w:cs="Arial"/>
        </w:rPr>
      </w:pPr>
      <w:r>
        <w:rPr>
          <w:rFonts w:ascii="Arial" w:eastAsia="Arial" w:hAnsi="Arial" w:cs="Arial"/>
        </w:rPr>
        <w:t xml:space="preserve">Open the machine to the desired print section and open it with the side that has access to the Anilox roll. On a bottom printer section unit, the is usually located on the backside of the section. </w:t>
      </w:r>
    </w:p>
    <w:p w:rsidR="00491789" w:rsidRDefault="00000000">
      <w:pPr>
        <w:numPr>
          <w:ilvl w:val="0"/>
          <w:numId w:val="1"/>
        </w:numPr>
        <w:rPr>
          <w:rFonts w:ascii="Arial" w:eastAsia="Arial" w:hAnsi="Arial" w:cs="Arial"/>
        </w:rPr>
      </w:pPr>
      <w:r>
        <w:rPr>
          <w:rFonts w:ascii="Arial" w:eastAsia="Arial" w:hAnsi="Arial" w:cs="Arial"/>
        </w:rPr>
        <w:t>Release the two latches on either side of the Anilox Roll guard and open this guard.</w:t>
      </w:r>
    </w:p>
    <w:p w:rsidR="00491789" w:rsidRDefault="00000000">
      <w:pPr>
        <w:numPr>
          <w:ilvl w:val="0"/>
          <w:numId w:val="1"/>
        </w:numPr>
        <w:rPr>
          <w:rFonts w:ascii="Arial" w:eastAsia="Arial" w:hAnsi="Arial" w:cs="Arial"/>
        </w:rPr>
      </w:pPr>
      <w:r>
        <w:rPr>
          <w:rFonts w:ascii="Arial" w:eastAsia="Arial" w:hAnsi="Arial" w:cs="Arial"/>
        </w:rPr>
        <w:t>Make sure that the cylinder is clean across the portion that you will be gauging so that your gauge sits</w:t>
      </w:r>
      <w:r w:rsidR="00F07E58">
        <w:rPr>
          <w:rFonts w:ascii="Arial" w:eastAsia="Arial" w:hAnsi="Arial" w:cs="Arial"/>
        </w:rPr>
        <w:tab/>
      </w:r>
      <w:r>
        <w:rPr>
          <w:rFonts w:ascii="Arial" w:eastAsia="Arial" w:hAnsi="Arial" w:cs="Arial"/>
        </w:rPr>
        <w:t xml:space="preserve"> flat against the surface.</w:t>
      </w:r>
    </w:p>
    <w:p w:rsidR="00491789" w:rsidRDefault="00000000">
      <w:pPr>
        <w:numPr>
          <w:ilvl w:val="0"/>
          <w:numId w:val="1"/>
        </w:numPr>
        <w:rPr>
          <w:rFonts w:ascii="Arial" w:eastAsia="Arial" w:hAnsi="Arial" w:cs="Arial"/>
        </w:rPr>
      </w:pPr>
      <w:r>
        <w:rPr>
          <w:rFonts w:ascii="Arial" w:eastAsia="Arial" w:hAnsi="Arial" w:cs="Arial"/>
        </w:rPr>
        <w:t>Go to the operator side LCD screen and MANUALLY ENGAGE the Anilox Roll. This will push the Anilox Roll up towards the Print Cylinder.</w:t>
      </w:r>
    </w:p>
    <w:p w:rsidR="00491789" w:rsidRDefault="00000000">
      <w:pPr>
        <w:numPr>
          <w:ilvl w:val="0"/>
          <w:numId w:val="1"/>
        </w:numPr>
        <w:rPr>
          <w:rFonts w:ascii="Arial" w:eastAsia="Arial" w:hAnsi="Arial" w:cs="Arial"/>
        </w:rPr>
      </w:pPr>
      <w:r>
        <w:rPr>
          <w:rFonts w:ascii="Arial" w:eastAsia="Arial" w:hAnsi="Arial" w:cs="Arial"/>
        </w:rPr>
        <w:t xml:space="preserve">Take your gauge and push it between the Anilox Roll and the Print Cylinder. Go to the operator side LCD screen and use the Anilox Gap Switch to raise or lower the gap until you bring the Anilox Roll and Print </w:t>
      </w:r>
      <w:r>
        <w:rPr>
          <w:rFonts w:ascii="Arial" w:eastAsia="Arial" w:hAnsi="Arial" w:cs="Arial"/>
        </w:rPr>
        <w:lastRenderedPageBreak/>
        <w:t xml:space="preserve">Cylinder flat against the 7.2mm Gauge. Make sure that you check at least 5 locations across the Anilox Roll and the Print Cylinder gap. </w:t>
      </w:r>
    </w:p>
    <w:p w:rsidR="00491789" w:rsidRDefault="00000000">
      <w:pPr>
        <w:numPr>
          <w:ilvl w:val="0"/>
          <w:numId w:val="1"/>
        </w:numPr>
        <w:rPr>
          <w:rFonts w:ascii="Arial" w:eastAsia="Arial" w:hAnsi="Arial" w:cs="Arial"/>
        </w:rPr>
      </w:pPr>
      <w:r>
        <w:rPr>
          <w:rFonts w:ascii="Arial" w:eastAsia="Arial" w:hAnsi="Arial" w:cs="Arial"/>
        </w:rPr>
        <w:t xml:space="preserve">There are 2 screws that control this parallel. You must unscrew the nut on the screw to loosen it and then either move it upward or downward if needed to parallel the gap or to allow for more room to get to ZERO if need be. These are your Parallel Adjustment Screws. </w:t>
      </w:r>
    </w:p>
    <w:p w:rsidR="00491789" w:rsidRDefault="00000000">
      <w:pPr>
        <w:numPr>
          <w:ilvl w:val="0"/>
          <w:numId w:val="1"/>
        </w:numPr>
        <w:rPr>
          <w:rFonts w:ascii="Arial" w:eastAsia="Arial" w:hAnsi="Arial" w:cs="Arial"/>
        </w:rPr>
      </w:pPr>
      <w:r>
        <w:rPr>
          <w:rFonts w:ascii="Arial" w:eastAsia="Arial" w:hAnsi="Arial" w:cs="Arial"/>
        </w:rPr>
        <w:t>Once all 5 locations that you have gauged are flat and squeezing between the Anilox Roll and the Print Cylinder firmly Go to the Operator side LCD screen and tap on the Anilox Gap on the touchscreen itself, this will trigger the PASSWORD screen. PASSWORD is 12345.</w:t>
      </w:r>
    </w:p>
    <w:p w:rsidR="00491789" w:rsidRDefault="00000000">
      <w:pPr>
        <w:numPr>
          <w:ilvl w:val="0"/>
          <w:numId w:val="1"/>
        </w:numPr>
        <w:rPr>
          <w:rFonts w:ascii="Arial" w:eastAsia="Arial" w:hAnsi="Arial" w:cs="Arial"/>
        </w:rPr>
      </w:pPr>
      <w:r>
        <w:rPr>
          <w:rFonts w:ascii="Arial" w:eastAsia="Arial" w:hAnsi="Arial" w:cs="Arial"/>
        </w:rPr>
        <w:t>The Anilox Gap will show again but it will be highlighted in BLUE this time. Touch it again. This will trigger the screen where you can input your gap now.</w:t>
      </w:r>
    </w:p>
    <w:p w:rsidR="00491789" w:rsidRDefault="00000000">
      <w:pPr>
        <w:numPr>
          <w:ilvl w:val="0"/>
          <w:numId w:val="1"/>
        </w:numPr>
        <w:rPr>
          <w:rFonts w:ascii="Arial" w:eastAsia="Arial" w:hAnsi="Arial" w:cs="Arial"/>
        </w:rPr>
      </w:pPr>
      <w:r>
        <w:rPr>
          <w:rFonts w:ascii="Arial" w:eastAsia="Arial" w:hAnsi="Arial" w:cs="Arial"/>
        </w:rPr>
        <w:t>Enter in 0.000 and hit enter. This should change your Anilox Gap to ZERO. It will still be highlighted in Blue.</w:t>
      </w:r>
    </w:p>
    <w:p w:rsidR="00491789" w:rsidRDefault="00000000">
      <w:pPr>
        <w:numPr>
          <w:ilvl w:val="0"/>
          <w:numId w:val="1"/>
        </w:numPr>
        <w:rPr>
          <w:rFonts w:ascii="Arial" w:eastAsia="Arial" w:hAnsi="Arial" w:cs="Arial"/>
        </w:rPr>
      </w:pPr>
      <w:r>
        <w:rPr>
          <w:rFonts w:ascii="Arial" w:eastAsia="Arial" w:hAnsi="Arial" w:cs="Arial"/>
        </w:rPr>
        <w:t xml:space="preserve">Hit F1 on the Touchscreen, this takes you to the main page of the LCD touchscreen and out of the password protected area. You are done. </w:t>
      </w:r>
    </w:p>
    <w:p w:rsidR="00491789" w:rsidRDefault="00491789">
      <w:pPr>
        <w:rPr>
          <w:rFonts w:ascii="Arial" w:eastAsia="Arial" w:hAnsi="Arial" w:cs="Arial"/>
        </w:rPr>
      </w:pPr>
    </w:p>
    <w:p w:rsidR="00491789" w:rsidRDefault="00491789">
      <w:pPr>
        <w:ind w:left="720"/>
        <w:rPr>
          <w:rFonts w:ascii="Arial" w:eastAsia="Arial" w:hAnsi="Arial" w:cs="Arial"/>
        </w:rPr>
      </w:pPr>
    </w:p>
    <w:p w:rsidR="00491789" w:rsidRDefault="00000000">
      <w:pPr>
        <w:pStyle w:val="Heading2"/>
      </w:pPr>
      <w:r>
        <w:rPr>
          <w:sz w:val="24"/>
          <w:szCs w:val="24"/>
        </w:rPr>
        <w:t xml:space="preserve">5. </w:t>
      </w:r>
      <w:r>
        <w:rPr>
          <w:sz w:val="24"/>
          <w:szCs w:val="24"/>
        </w:rPr>
        <w:tab/>
        <w:t>Definitions and Pictures</w:t>
      </w:r>
    </w:p>
    <w:tbl>
      <w:tblPr>
        <w:tblStyle w:val="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491789">
        <w:tc>
          <w:tcPr>
            <w:tcW w:w="4320" w:type="dxa"/>
            <w:shd w:val="clear" w:color="auto" w:fill="auto"/>
            <w:tcMar>
              <w:top w:w="100" w:type="dxa"/>
              <w:left w:w="100" w:type="dxa"/>
              <w:bottom w:w="100" w:type="dxa"/>
              <w:right w:w="100" w:type="dxa"/>
            </w:tcMar>
          </w:tcPr>
          <w:p w:rsidR="00491789" w:rsidRDefault="00000000">
            <w:r>
              <w:t>Anilox Roll</w:t>
            </w:r>
            <w:r w:rsidR="002E624C">
              <w:t>- An</w:t>
            </w:r>
            <w:r>
              <w:rPr>
                <w:rFonts w:ascii="Arial" w:eastAsia="Arial" w:hAnsi="Arial" w:cs="Arial"/>
              </w:rPr>
              <w:t xml:space="preserve"> anilox roll is a hard cylinder, usually constructed of a steel or aluminum core which is coated by an industrial ceramic, typically </w:t>
            </w:r>
            <w:r w:rsidR="002E624C">
              <w:rPr>
                <w:rFonts w:ascii="Arial" w:eastAsia="Arial" w:hAnsi="Arial" w:cs="Arial"/>
              </w:rPr>
              <w:t>chromium (</w:t>
            </w:r>
            <w:r>
              <w:rPr>
                <w:rFonts w:ascii="Arial" w:eastAsia="Arial" w:hAnsi="Arial" w:cs="Arial"/>
              </w:rPr>
              <w:t>III) oxide powder, whose surface is engraved with millions of very fine dimples, known as anilox cells. In the printing process, the anilox roll is coated in a precise layer of ink that is then transferred to the raised portions of the printing plate. The number, size, and geometry of the anilox cells vary and will determine the amount of ink that the anilox roll delivers to the plate</w:t>
            </w:r>
          </w:p>
        </w:tc>
        <w:tc>
          <w:tcPr>
            <w:tcW w:w="4320" w:type="dxa"/>
            <w:shd w:val="clear" w:color="auto" w:fill="auto"/>
            <w:tcMar>
              <w:top w:w="100" w:type="dxa"/>
              <w:left w:w="100" w:type="dxa"/>
              <w:bottom w:w="100" w:type="dxa"/>
              <w:right w:w="100" w:type="dxa"/>
            </w:tcMar>
          </w:tcPr>
          <w:p w:rsidR="00491789" w:rsidRDefault="00000000">
            <w:pPr>
              <w:widowControl w:val="0"/>
              <w:pBdr>
                <w:top w:val="nil"/>
                <w:left w:val="nil"/>
                <w:bottom w:val="nil"/>
                <w:right w:val="nil"/>
                <w:between w:val="nil"/>
              </w:pBdr>
            </w:pPr>
            <w:r>
              <w:rPr>
                <w:noProof/>
              </w:rPr>
              <w:drawing>
                <wp:inline distT="114300" distB="114300" distL="114300" distR="114300">
                  <wp:extent cx="2609850" cy="24257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609850" cy="2425700"/>
                          </a:xfrm>
                          <a:prstGeom prst="rect">
                            <a:avLst/>
                          </a:prstGeom>
                          <a:ln/>
                        </pic:spPr>
                      </pic:pic>
                    </a:graphicData>
                  </a:graphic>
                </wp:inline>
              </w:drawing>
            </w:r>
          </w:p>
        </w:tc>
      </w:tr>
      <w:tr w:rsidR="00491789">
        <w:tc>
          <w:tcPr>
            <w:tcW w:w="4320" w:type="dxa"/>
            <w:shd w:val="clear" w:color="auto" w:fill="auto"/>
            <w:tcMar>
              <w:top w:w="100" w:type="dxa"/>
              <w:left w:w="100" w:type="dxa"/>
              <w:bottom w:w="100" w:type="dxa"/>
              <w:right w:w="100" w:type="dxa"/>
            </w:tcMar>
          </w:tcPr>
          <w:p w:rsidR="00491789" w:rsidRDefault="00000000">
            <w:r>
              <w:rPr>
                <w:rFonts w:ascii="Arial" w:eastAsia="Arial" w:hAnsi="Arial" w:cs="Arial"/>
              </w:rPr>
              <w:lastRenderedPageBreak/>
              <w:t>Print Plate Cylinder</w:t>
            </w:r>
            <w:r w:rsidR="002E624C">
              <w:rPr>
                <w:rFonts w:ascii="Arial" w:eastAsia="Arial" w:hAnsi="Arial" w:cs="Arial"/>
              </w:rPr>
              <w:t>- the</w:t>
            </w:r>
            <w:r>
              <w:rPr>
                <w:rFonts w:ascii="Arial" w:eastAsia="Arial" w:hAnsi="Arial" w:cs="Arial"/>
                <w:color w:val="212529"/>
                <w:highlight w:val="white"/>
              </w:rPr>
              <w:t xml:space="preserve"> cylinder of a rotary printing press that carries the print plate and impresses it by counterrotation against the inked printing surface on the plate cylinder.</w:t>
            </w:r>
          </w:p>
        </w:tc>
        <w:tc>
          <w:tcPr>
            <w:tcW w:w="4320" w:type="dxa"/>
            <w:shd w:val="clear" w:color="auto" w:fill="auto"/>
            <w:tcMar>
              <w:top w:w="100" w:type="dxa"/>
              <w:left w:w="100" w:type="dxa"/>
              <w:bottom w:w="100" w:type="dxa"/>
              <w:right w:w="100" w:type="dxa"/>
            </w:tcMar>
          </w:tcPr>
          <w:p w:rsidR="00491789" w:rsidRDefault="00000000">
            <w:pPr>
              <w:widowControl w:val="0"/>
              <w:pBdr>
                <w:top w:val="nil"/>
                <w:left w:val="nil"/>
                <w:bottom w:val="nil"/>
                <w:right w:val="nil"/>
                <w:between w:val="nil"/>
              </w:pBdr>
            </w:pPr>
            <w:r>
              <w:rPr>
                <w:noProof/>
              </w:rPr>
              <w:drawing>
                <wp:inline distT="114300" distB="114300" distL="114300" distR="114300">
                  <wp:extent cx="2609850" cy="2110271"/>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609850" cy="2110271"/>
                          </a:xfrm>
                          <a:prstGeom prst="rect">
                            <a:avLst/>
                          </a:prstGeom>
                          <a:ln/>
                        </pic:spPr>
                      </pic:pic>
                    </a:graphicData>
                  </a:graphic>
                </wp:inline>
              </w:drawing>
            </w:r>
          </w:p>
        </w:tc>
      </w:tr>
      <w:tr w:rsidR="00491789">
        <w:tc>
          <w:tcPr>
            <w:tcW w:w="4320" w:type="dxa"/>
            <w:shd w:val="clear" w:color="auto" w:fill="auto"/>
            <w:tcMar>
              <w:top w:w="100" w:type="dxa"/>
              <w:left w:w="100" w:type="dxa"/>
              <w:bottom w:w="100" w:type="dxa"/>
              <w:right w:w="100" w:type="dxa"/>
            </w:tcMar>
          </w:tcPr>
          <w:p w:rsidR="00491789" w:rsidRDefault="00000000">
            <w:r>
              <w:rPr>
                <w:rFonts w:ascii="Arial" w:eastAsia="Arial" w:hAnsi="Arial" w:cs="Arial"/>
              </w:rPr>
              <w:t>Anilox Gap- The gap between the Anilox Roll and the Print Plate Cylinder</w:t>
            </w:r>
          </w:p>
        </w:tc>
        <w:tc>
          <w:tcPr>
            <w:tcW w:w="4320" w:type="dxa"/>
            <w:shd w:val="clear" w:color="auto" w:fill="auto"/>
            <w:tcMar>
              <w:top w:w="100" w:type="dxa"/>
              <w:left w:w="100" w:type="dxa"/>
              <w:bottom w:w="100" w:type="dxa"/>
              <w:right w:w="100" w:type="dxa"/>
            </w:tcMar>
          </w:tcPr>
          <w:p w:rsidR="00491789" w:rsidRDefault="00000000">
            <w:pPr>
              <w:widowControl w:val="0"/>
              <w:pBdr>
                <w:top w:val="nil"/>
                <w:left w:val="nil"/>
                <w:bottom w:val="nil"/>
                <w:right w:val="nil"/>
                <w:between w:val="nil"/>
              </w:pBdr>
            </w:pPr>
            <w:r>
              <w:t>See Above Picture - The gauge being used is place between the Anilox Gap</w:t>
            </w:r>
          </w:p>
        </w:tc>
      </w:tr>
      <w:tr w:rsidR="00491789">
        <w:tc>
          <w:tcPr>
            <w:tcW w:w="4320" w:type="dxa"/>
            <w:shd w:val="clear" w:color="auto" w:fill="auto"/>
            <w:tcMar>
              <w:top w:w="100" w:type="dxa"/>
              <w:left w:w="100" w:type="dxa"/>
              <w:bottom w:w="100" w:type="dxa"/>
              <w:right w:w="100" w:type="dxa"/>
            </w:tcMar>
          </w:tcPr>
          <w:p w:rsidR="00491789" w:rsidRDefault="00000000">
            <w:r>
              <w:rPr>
                <w:rFonts w:ascii="Arial" w:eastAsia="Arial" w:hAnsi="Arial" w:cs="Arial"/>
              </w:rPr>
              <w:t xml:space="preserve">Anilox Engage - When you engage the </w:t>
            </w:r>
            <w:r w:rsidR="002E624C">
              <w:rPr>
                <w:rFonts w:ascii="Arial" w:eastAsia="Arial" w:hAnsi="Arial" w:cs="Arial"/>
              </w:rPr>
              <w:t>Anilox</w:t>
            </w:r>
            <w:r>
              <w:rPr>
                <w:rFonts w:ascii="Arial" w:eastAsia="Arial" w:hAnsi="Arial" w:cs="Arial"/>
              </w:rPr>
              <w:t xml:space="preserve"> you are telling the print station that you want to use that printer to print and you are engaging the Anilox roll to come forward towards the Print Plate Cylinder.</w:t>
            </w:r>
          </w:p>
        </w:tc>
        <w:tc>
          <w:tcPr>
            <w:tcW w:w="4320" w:type="dxa"/>
            <w:shd w:val="clear" w:color="auto" w:fill="auto"/>
            <w:tcMar>
              <w:top w:w="100" w:type="dxa"/>
              <w:left w:w="100" w:type="dxa"/>
              <w:bottom w:w="100" w:type="dxa"/>
              <w:right w:w="100" w:type="dxa"/>
            </w:tcMar>
          </w:tcPr>
          <w:p w:rsidR="00491789" w:rsidRDefault="00000000">
            <w:pPr>
              <w:widowControl w:val="0"/>
              <w:pBdr>
                <w:top w:val="nil"/>
                <w:left w:val="nil"/>
                <w:bottom w:val="nil"/>
                <w:right w:val="nil"/>
                <w:between w:val="nil"/>
              </w:pBdr>
            </w:pPr>
            <w:r>
              <w:rPr>
                <w:noProof/>
              </w:rPr>
              <w:drawing>
                <wp:inline distT="114300" distB="114300" distL="114300" distR="114300">
                  <wp:extent cx="2609850" cy="200877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609850" cy="2008770"/>
                          </a:xfrm>
                          <a:prstGeom prst="rect">
                            <a:avLst/>
                          </a:prstGeom>
                          <a:ln/>
                        </pic:spPr>
                      </pic:pic>
                    </a:graphicData>
                  </a:graphic>
                </wp:inline>
              </w:drawing>
            </w:r>
          </w:p>
        </w:tc>
      </w:tr>
      <w:tr w:rsidR="00491789">
        <w:tc>
          <w:tcPr>
            <w:tcW w:w="4320" w:type="dxa"/>
            <w:shd w:val="clear" w:color="auto" w:fill="auto"/>
            <w:tcMar>
              <w:top w:w="100" w:type="dxa"/>
              <w:left w:w="100" w:type="dxa"/>
              <w:bottom w:w="100" w:type="dxa"/>
              <w:right w:w="100" w:type="dxa"/>
            </w:tcMar>
          </w:tcPr>
          <w:p w:rsidR="00491789" w:rsidRDefault="00000000">
            <w:r>
              <w:rPr>
                <w:rFonts w:ascii="Arial" w:eastAsia="Arial" w:hAnsi="Arial" w:cs="Arial"/>
              </w:rPr>
              <w:lastRenderedPageBreak/>
              <w:t>Anilox Roll Parallel Screws- These screws control the parallel of the Anilox Roll. There is 1 located on each side of the anilox roll.</w:t>
            </w:r>
          </w:p>
        </w:tc>
        <w:tc>
          <w:tcPr>
            <w:tcW w:w="4320" w:type="dxa"/>
            <w:shd w:val="clear" w:color="auto" w:fill="auto"/>
            <w:tcMar>
              <w:top w:w="100" w:type="dxa"/>
              <w:left w:w="100" w:type="dxa"/>
              <w:bottom w:w="100" w:type="dxa"/>
              <w:right w:w="100" w:type="dxa"/>
            </w:tcMar>
          </w:tcPr>
          <w:p w:rsidR="00491789" w:rsidRDefault="00000000">
            <w:pPr>
              <w:widowControl w:val="0"/>
              <w:pBdr>
                <w:top w:val="nil"/>
                <w:left w:val="nil"/>
                <w:bottom w:val="nil"/>
                <w:right w:val="nil"/>
                <w:between w:val="nil"/>
              </w:pBdr>
            </w:pPr>
            <w:r>
              <w:rPr>
                <w:noProof/>
              </w:rPr>
              <w:drawing>
                <wp:inline distT="114300" distB="114300" distL="114300" distR="114300">
                  <wp:extent cx="2609850" cy="2796071"/>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609850" cy="2796071"/>
                          </a:xfrm>
                          <a:prstGeom prst="rect">
                            <a:avLst/>
                          </a:prstGeom>
                          <a:ln/>
                        </pic:spPr>
                      </pic:pic>
                    </a:graphicData>
                  </a:graphic>
                </wp:inline>
              </w:drawing>
            </w:r>
          </w:p>
        </w:tc>
      </w:tr>
    </w:tbl>
    <w:p w:rsidR="00491789" w:rsidRDefault="00491789"/>
    <w:sectPr w:rsidR="00491789">
      <w:headerReference w:type="default" r:id="rId12"/>
      <w:footerReference w:type="default" r:id="rId1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17FA0" w:rsidRDefault="00517FA0">
      <w:r>
        <w:separator/>
      </w:r>
    </w:p>
  </w:endnote>
  <w:endnote w:type="continuationSeparator" w:id="0">
    <w:p w:rsidR="00517FA0" w:rsidRDefault="00517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EBE869F-96AA-466D-8813-C19E526B2D37}"/>
    <w:embedItalic r:id="rId2" w:fontKey="{B251AF7C-CFE2-4DF8-A61C-7DDC05326425}"/>
  </w:font>
  <w:font w:name="Roboto">
    <w:charset w:val="00"/>
    <w:family w:val="auto"/>
    <w:pitch w:val="variable"/>
    <w:sig w:usb0="E0000AFF" w:usb1="5000217F" w:usb2="00000021" w:usb3="00000000" w:csb0="0000019F" w:csb1="00000000"/>
    <w:embedRegular r:id="rId3" w:fontKey="{2442C51E-AF39-40FD-924F-699B5FF2F978}"/>
  </w:font>
  <w:font w:name="Calibri">
    <w:panose1 w:val="020F0502020204030204"/>
    <w:charset w:val="00"/>
    <w:family w:val="swiss"/>
    <w:pitch w:val="variable"/>
    <w:sig w:usb0="E4002EFF" w:usb1="C200247B" w:usb2="00000009" w:usb3="00000000" w:csb0="000001FF" w:csb1="00000000"/>
    <w:embedRegular r:id="rId4" w:fontKey="{23103F35-23FF-4C0B-88E8-E1E53E65D335}"/>
  </w:font>
  <w:font w:name="Cambria">
    <w:panose1 w:val="02040503050406030204"/>
    <w:charset w:val="00"/>
    <w:family w:val="roman"/>
    <w:pitch w:val="variable"/>
    <w:sig w:usb0="E00006FF" w:usb1="420024FF" w:usb2="02000000" w:usb3="00000000" w:csb0="0000019F" w:csb1="00000000"/>
    <w:embedRegular r:id="rId5" w:fontKey="{362AFAD0-5636-4024-82BF-1268336553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91789" w:rsidRDefault="00000000">
    <w:pPr>
      <w:pBdr>
        <w:top w:val="nil"/>
        <w:left w:val="nil"/>
        <w:bottom w:val="nil"/>
        <w:right w:val="nil"/>
        <w:between w:val="nil"/>
      </w:pBdr>
      <w:tabs>
        <w:tab w:val="center" w:pos="4320"/>
        <w:tab w:val="right" w:pos="8640"/>
      </w:tabs>
      <w:rPr>
        <w:color w:val="000000"/>
      </w:rPr>
    </w:pPr>
    <w:r>
      <w:rPr>
        <w:color w:val="000000"/>
      </w:rPr>
      <w:t>Documents: SOP short-form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17FA0" w:rsidRDefault="00517FA0">
      <w:r>
        <w:separator/>
      </w:r>
    </w:p>
  </w:footnote>
  <w:footnote w:type="continuationSeparator" w:id="0">
    <w:p w:rsidR="00517FA0" w:rsidRDefault="00517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91789" w:rsidRDefault="00491789">
    <w:pPr>
      <w:widowControl w:val="0"/>
      <w:pBdr>
        <w:top w:val="nil"/>
        <w:left w:val="nil"/>
        <w:bottom w:val="nil"/>
        <w:right w:val="nil"/>
        <w:between w:val="nil"/>
      </w:pBdr>
      <w:spacing w:line="276" w:lineRule="auto"/>
      <w:rPr>
        <w:rFonts w:ascii="Arial" w:eastAsia="Arial" w:hAnsi="Arial" w:cs="Arial"/>
      </w:rPr>
    </w:pPr>
  </w:p>
  <w:tbl>
    <w:tblPr>
      <w:tblStyle w:val="a0"/>
      <w:tblW w:w="9510" w:type="dxa"/>
      <w:tblInd w:w="-3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75"/>
      <w:gridCol w:w="2985"/>
      <w:gridCol w:w="2295"/>
      <w:gridCol w:w="2055"/>
    </w:tblGrid>
    <w:tr w:rsidR="00491789">
      <w:trPr>
        <w:cantSplit/>
        <w:trHeight w:val="398"/>
      </w:trPr>
      <w:tc>
        <w:tcPr>
          <w:tcW w:w="2175" w:type="dxa"/>
          <w:vMerge w:val="restart"/>
          <w:vAlign w:val="center"/>
        </w:tcPr>
        <w:p w:rsidR="00491789" w:rsidRDefault="00000000">
          <w:pPr>
            <w:spacing w:line="335" w:lineRule="auto"/>
            <w:ind w:left="-15"/>
            <w:rPr>
              <w:rFonts w:ascii="Arial" w:eastAsia="Arial" w:hAnsi="Arial" w:cs="Arial"/>
              <w:color w:val="000000"/>
              <w:sz w:val="26"/>
              <w:szCs w:val="26"/>
            </w:rPr>
          </w:pPr>
          <w:r>
            <w:rPr>
              <w:rFonts w:ascii="Arial" w:eastAsia="Arial" w:hAnsi="Arial" w:cs="Arial"/>
              <w:b/>
              <w:noProof/>
              <w:color w:val="333333"/>
              <w:sz w:val="21"/>
              <w:szCs w:val="21"/>
              <w:highlight w:val="white"/>
            </w:rPr>
            <w:drawing>
              <wp:inline distT="114300" distB="114300" distL="114300" distR="114300">
                <wp:extent cx="1066800" cy="5969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066800" cy="596900"/>
                        </a:xfrm>
                        <a:prstGeom prst="rect">
                          <a:avLst/>
                        </a:prstGeom>
                        <a:ln/>
                      </pic:spPr>
                    </pic:pic>
                  </a:graphicData>
                </a:graphic>
              </wp:inline>
            </w:drawing>
          </w:r>
        </w:p>
      </w:tc>
      <w:tc>
        <w:tcPr>
          <w:tcW w:w="2985" w:type="dxa"/>
          <w:vMerge w:val="restart"/>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b/>
              <w:sz w:val="26"/>
              <w:szCs w:val="26"/>
            </w:rPr>
          </w:pPr>
          <w:r>
            <w:rPr>
              <w:rFonts w:ascii="Arial" w:eastAsia="Arial" w:hAnsi="Arial" w:cs="Arial"/>
              <w:b/>
              <w:sz w:val="26"/>
              <w:szCs w:val="26"/>
            </w:rPr>
            <w:t>Thacker Machinery</w:t>
          </w:r>
        </w:p>
        <w:p w:rsidR="00491789" w:rsidRDefault="00000000">
          <w:pPr>
            <w:pBdr>
              <w:top w:val="nil"/>
              <w:left w:val="nil"/>
              <w:bottom w:val="nil"/>
              <w:right w:val="nil"/>
              <w:between w:val="nil"/>
            </w:pBdr>
            <w:tabs>
              <w:tab w:val="center" w:pos="4320"/>
              <w:tab w:val="right" w:pos="8640"/>
            </w:tabs>
            <w:rPr>
              <w:rFonts w:ascii="Arial" w:eastAsia="Arial" w:hAnsi="Arial" w:cs="Arial"/>
              <w:b/>
              <w:sz w:val="26"/>
              <w:szCs w:val="26"/>
            </w:rPr>
          </w:pPr>
          <w:r>
            <w:rPr>
              <w:rFonts w:ascii="Arial" w:eastAsia="Arial" w:hAnsi="Arial" w:cs="Arial"/>
              <w:b/>
              <w:sz w:val="26"/>
              <w:szCs w:val="26"/>
            </w:rPr>
            <w:t>Springtown, Texas</w:t>
          </w:r>
        </w:p>
        <w:p w:rsidR="00491789" w:rsidRDefault="00491789">
          <w:pPr>
            <w:pBdr>
              <w:top w:val="nil"/>
              <w:left w:val="nil"/>
              <w:bottom w:val="nil"/>
              <w:right w:val="nil"/>
              <w:between w:val="nil"/>
            </w:pBdr>
            <w:tabs>
              <w:tab w:val="center" w:pos="4320"/>
              <w:tab w:val="right" w:pos="8640"/>
            </w:tabs>
            <w:rPr>
              <w:rFonts w:ascii="Arial" w:eastAsia="Arial" w:hAnsi="Arial" w:cs="Arial"/>
              <w:b/>
              <w:sz w:val="26"/>
              <w:szCs w:val="26"/>
            </w:rPr>
          </w:pPr>
        </w:p>
        <w:p w:rsidR="00491789" w:rsidRDefault="00491789">
          <w:pPr>
            <w:pBdr>
              <w:top w:val="nil"/>
              <w:left w:val="nil"/>
              <w:bottom w:val="nil"/>
              <w:right w:val="nil"/>
              <w:between w:val="nil"/>
            </w:pBdr>
            <w:tabs>
              <w:tab w:val="center" w:pos="4320"/>
              <w:tab w:val="right" w:pos="8640"/>
            </w:tabs>
            <w:rPr>
              <w:rFonts w:ascii="Arial" w:eastAsia="Arial" w:hAnsi="Arial" w:cs="Arial"/>
              <w:color w:val="000000"/>
              <w:sz w:val="26"/>
              <w:szCs w:val="26"/>
            </w:rPr>
          </w:pPr>
        </w:p>
      </w:tc>
      <w:tc>
        <w:tcPr>
          <w:tcW w:w="2295" w:type="dxa"/>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 xml:space="preserve">SOP </w:t>
          </w:r>
        </w:p>
      </w:tc>
      <w:tc>
        <w:tcPr>
          <w:tcW w:w="2055" w:type="dxa"/>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sz w:val="18"/>
              <w:szCs w:val="18"/>
            </w:rPr>
            <w:t>Parallelling the Anilox Roll and its ZERO</w:t>
          </w:r>
        </w:p>
      </w:tc>
    </w:tr>
    <w:tr w:rsidR="00491789">
      <w:trPr>
        <w:cantSplit/>
        <w:trHeight w:val="360"/>
      </w:trPr>
      <w:tc>
        <w:tcPr>
          <w:tcW w:w="2175" w:type="dxa"/>
          <w:vMerge/>
          <w:vAlign w:val="center"/>
        </w:tcPr>
        <w:p w:rsidR="00491789" w:rsidRDefault="0049178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985" w:type="dxa"/>
          <w:vMerge/>
          <w:vAlign w:val="center"/>
        </w:tcPr>
        <w:p w:rsidR="00491789" w:rsidRDefault="0049178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295" w:type="dxa"/>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Revision #</w:t>
          </w:r>
        </w:p>
      </w:tc>
      <w:tc>
        <w:tcPr>
          <w:tcW w:w="2055" w:type="dxa"/>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1</w:t>
          </w:r>
        </w:p>
      </w:tc>
    </w:tr>
    <w:tr w:rsidR="00491789">
      <w:trPr>
        <w:cantSplit/>
        <w:trHeight w:val="360"/>
      </w:trPr>
      <w:tc>
        <w:tcPr>
          <w:tcW w:w="2175" w:type="dxa"/>
          <w:vMerge/>
          <w:vAlign w:val="center"/>
        </w:tcPr>
        <w:p w:rsidR="00491789" w:rsidRDefault="00491789">
          <w:pPr>
            <w:widowControl w:val="0"/>
            <w:pBdr>
              <w:top w:val="nil"/>
              <w:left w:val="nil"/>
              <w:bottom w:val="nil"/>
              <w:right w:val="nil"/>
              <w:between w:val="nil"/>
            </w:pBdr>
            <w:spacing w:line="276" w:lineRule="auto"/>
            <w:rPr>
              <w:rFonts w:ascii="Arial" w:eastAsia="Arial" w:hAnsi="Arial" w:cs="Arial"/>
              <w:sz w:val="18"/>
              <w:szCs w:val="18"/>
            </w:rPr>
          </w:pPr>
        </w:p>
      </w:tc>
      <w:tc>
        <w:tcPr>
          <w:tcW w:w="2985" w:type="dxa"/>
          <w:vMerge/>
          <w:vAlign w:val="center"/>
        </w:tcPr>
        <w:p w:rsidR="00491789" w:rsidRDefault="00491789">
          <w:pPr>
            <w:widowControl w:val="0"/>
            <w:pBdr>
              <w:top w:val="nil"/>
              <w:left w:val="nil"/>
              <w:bottom w:val="nil"/>
              <w:right w:val="nil"/>
              <w:between w:val="nil"/>
            </w:pBdr>
            <w:spacing w:line="276" w:lineRule="auto"/>
            <w:rPr>
              <w:rFonts w:ascii="Arial" w:eastAsia="Arial" w:hAnsi="Arial" w:cs="Arial"/>
              <w:sz w:val="18"/>
              <w:szCs w:val="18"/>
            </w:rPr>
          </w:pPr>
        </w:p>
      </w:tc>
      <w:tc>
        <w:tcPr>
          <w:tcW w:w="2295" w:type="dxa"/>
          <w:vAlign w:val="center"/>
        </w:tcPr>
        <w:p w:rsidR="00491789" w:rsidRDefault="00491789">
          <w:pPr>
            <w:pBdr>
              <w:top w:val="nil"/>
              <w:left w:val="nil"/>
              <w:bottom w:val="nil"/>
              <w:right w:val="nil"/>
              <w:between w:val="nil"/>
            </w:pBdr>
            <w:tabs>
              <w:tab w:val="center" w:pos="4320"/>
              <w:tab w:val="right" w:pos="8640"/>
            </w:tabs>
            <w:rPr>
              <w:rFonts w:ascii="Arial" w:eastAsia="Arial" w:hAnsi="Arial" w:cs="Arial"/>
              <w:b/>
              <w:color w:val="000000"/>
              <w:sz w:val="26"/>
              <w:szCs w:val="26"/>
            </w:rPr>
          </w:pPr>
        </w:p>
      </w:tc>
      <w:tc>
        <w:tcPr>
          <w:tcW w:w="2055" w:type="dxa"/>
          <w:vAlign w:val="center"/>
        </w:tcPr>
        <w:p w:rsidR="00491789" w:rsidRDefault="00491789">
          <w:pPr>
            <w:pBdr>
              <w:top w:val="nil"/>
              <w:left w:val="nil"/>
              <w:bottom w:val="nil"/>
              <w:right w:val="nil"/>
              <w:between w:val="nil"/>
            </w:pBdr>
            <w:tabs>
              <w:tab w:val="center" w:pos="4320"/>
              <w:tab w:val="right" w:pos="8640"/>
            </w:tabs>
            <w:rPr>
              <w:rFonts w:ascii="Arial" w:eastAsia="Arial" w:hAnsi="Arial" w:cs="Arial"/>
              <w:sz w:val="18"/>
              <w:szCs w:val="18"/>
            </w:rPr>
          </w:pPr>
        </w:p>
      </w:tc>
    </w:tr>
    <w:tr w:rsidR="00491789">
      <w:trPr>
        <w:cantSplit/>
        <w:trHeight w:val="360"/>
      </w:trPr>
      <w:tc>
        <w:tcPr>
          <w:tcW w:w="2175" w:type="dxa"/>
          <w:vMerge/>
          <w:vAlign w:val="center"/>
        </w:tcPr>
        <w:p w:rsidR="00491789" w:rsidRDefault="00491789">
          <w:pPr>
            <w:widowControl w:val="0"/>
            <w:pBdr>
              <w:top w:val="nil"/>
              <w:left w:val="nil"/>
              <w:bottom w:val="nil"/>
              <w:right w:val="nil"/>
              <w:between w:val="nil"/>
            </w:pBdr>
            <w:spacing w:line="276" w:lineRule="auto"/>
            <w:rPr>
              <w:rFonts w:ascii="Arial" w:eastAsia="Arial" w:hAnsi="Arial" w:cs="Arial"/>
              <w:sz w:val="18"/>
              <w:szCs w:val="18"/>
            </w:rPr>
          </w:pPr>
        </w:p>
      </w:tc>
      <w:tc>
        <w:tcPr>
          <w:tcW w:w="2985" w:type="dxa"/>
          <w:vMerge/>
          <w:vAlign w:val="center"/>
        </w:tcPr>
        <w:p w:rsidR="00491789" w:rsidRDefault="00491789">
          <w:pPr>
            <w:widowControl w:val="0"/>
            <w:pBdr>
              <w:top w:val="nil"/>
              <w:left w:val="nil"/>
              <w:bottom w:val="nil"/>
              <w:right w:val="nil"/>
              <w:between w:val="nil"/>
            </w:pBdr>
            <w:spacing w:line="276" w:lineRule="auto"/>
            <w:rPr>
              <w:rFonts w:ascii="Arial" w:eastAsia="Arial" w:hAnsi="Arial" w:cs="Arial"/>
              <w:sz w:val="18"/>
              <w:szCs w:val="18"/>
            </w:rPr>
          </w:pPr>
        </w:p>
      </w:tc>
      <w:tc>
        <w:tcPr>
          <w:tcW w:w="2295" w:type="dxa"/>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Implementation Date</w:t>
          </w:r>
        </w:p>
      </w:tc>
      <w:tc>
        <w:tcPr>
          <w:tcW w:w="2055" w:type="dxa"/>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sz w:val="18"/>
              <w:szCs w:val="18"/>
            </w:rPr>
            <w:t>12/01/2023</w:t>
          </w:r>
        </w:p>
      </w:tc>
    </w:tr>
    <w:tr w:rsidR="00491789">
      <w:trPr>
        <w:trHeight w:val="360"/>
      </w:trPr>
      <w:tc>
        <w:tcPr>
          <w:tcW w:w="2175" w:type="dxa"/>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SOP Owner</w:t>
          </w:r>
        </w:p>
      </w:tc>
      <w:tc>
        <w:tcPr>
          <w:tcW w:w="2985" w:type="dxa"/>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sz w:val="26"/>
              <w:szCs w:val="26"/>
            </w:rPr>
            <w:t>Chad Benavidez</w:t>
          </w:r>
        </w:p>
      </w:tc>
      <w:tc>
        <w:tcPr>
          <w:tcW w:w="2295" w:type="dxa"/>
          <w:vAlign w:val="center"/>
        </w:tcPr>
        <w:p w:rsidR="00491789"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Approval</w:t>
          </w:r>
        </w:p>
      </w:tc>
      <w:tc>
        <w:tcPr>
          <w:tcW w:w="2055" w:type="dxa"/>
          <w:vAlign w:val="center"/>
        </w:tcPr>
        <w:p w:rsidR="00491789" w:rsidRDefault="00491789">
          <w:pPr>
            <w:pBdr>
              <w:top w:val="nil"/>
              <w:left w:val="nil"/>
              <w:bottom w:val="nil"/>
              <w:right w:val="nil"/>
              <w:between w:val="nil"/>
            </w:pBdr>
            <w:tabs>
              <w:tab w:val="center" w:pos="4320"/>
              <w:tab w:val="right" w:pos="8640"/>
            </w:tabs>
            <w:rPr>
              <w:rFonts w:ascii="Arial" w:eastAsia="Arial" w:hAnsi="Arial" w:cs="Arial"/>
              <w:color w:val="000000"/>
              <w:sz w:val="18"/>
              <w:szCs w:val="18"/>
            </w:rPr>
          </w:pPr>
        </w:p>
      </w:tc>
    </w:tr>
    <w:tr w:rsidR="00491789">
      <w:trPr>
        <w:trHeight w:val="73"/>
      </w:trPr>
      <w:tc>
        <w:tcPr>
          <w:tcW w:w="2175" w:type="dxa"/>
          <w:vAlign w:val="center"/>
        </w:tcPr>
        <w:p w:rsidR="00491789" w:rsidRDefault="00491789">
          <w:pPr>
            <w:pBdr>
              <w:top w:val="nil"/>
              <w:left w:val="nil"/>
              <w:bottom w:val="nil"/>
              <w:right w:val="nil"/>
              <w:between w:val="nil"/>
            </w:pBdr>
            <w:tabs>
              <w:tab w:val="center" w:pos="4320"/>
              <w:tab w:val="right" w:pos="8640"/>
            </w:tabs>
            <w:rPr>
              <w:rFonts w:ascii="Arial" w:eastAsia="Arial" w:hAnsi="Arial" w:cs="Arial"/>
              <w:color w:val="000000"/>
              <w:sz w:val="26"/>
              <w:szCs w:val="26"/>
            </w:rPr>
          </w:pPr>
        </w:p>
      </w:tc>
      <w:tc>
        <w:tcPr>
          <w:tcW w:w="2985" w:type="dxa"/>
          <w:vAlign w:val="center"/>
        </w:tcPr>
        <w:p w:rsidR="00491789" w:rsidRDefault="00491789">
          <w:pPr>
            <w:pBdr>
              <w:top w:val="nil"/>
              <w:left w:val="nil"/>
              <w:bottom w:val="nil"/>
              <w:right w:val="nil"/>
              <w:between w:val="nil"/>
            </w:pBdr>
            <w:tabs>
              <w:tab w:val="center" w:pos="4320"/>
              <w:tab w:val="right" w:pos="8640"/>
            </w:tabs>
            <w:rPr>
              <w:rFonts w:ascii="Arial" w:eastAsia="Arial" w:hAnsi="Arial" w:cs="Arial"/>
              <w:color w:val="000000"/>
              <w:sz w:val="26"/>
              <w:szCs w:val="26"/>
            </w:rPr>
          </w:pPr>
        </w:p>
      </w:tc>
      <w:tc>
        <w:tcPr>
          <w:tcW w:w="2295" w:type="dxa"/>
          <w:vAlign w:val="center"/>
        </w:tcPr>
        <w:p w:rsidR="00491789" w:rsidRDefault="00491789">
          <w:pPr>
            <w:pBdr>
              <w:top w:val="nil"/>
              <w:left w:val="nil"/>
              <w:bottom w:val="nil"/>
              <w:right w:val="nil"/>
              <w:between w:val="nil"/>
            </w:pBdr>
            <w:tabs>
              <w:tab w:val="center" w:pos="4320"/>
              <w:tab w:val="right" w:pos="8640"/>
            </w:tabs>
            <w:rPr>
              <w:rFonts w:ascii="Arial" w:eastAsia="Arial" w:hAnsi="Arial" w:cs="Arial"/>
              <w:color w:val="000000"/>
              <w:sz w:val="26"/>
              <w:szCs w:val="26"/>
            </w:rPr>
          </w:pPr>
        </w:p>
      </w:tc>
      <w:tc>
        <w:tcPr>
          <w:tcW w:w="2055" w:type="dxa"/>
          <w:vAlign w:val="center"/>
        </w:tcPr>
        <w:p w:rsidR="00491789" w:rsidRDefault="00491789">
          <w:pPr>
            <w:pBdr>
              <w:top w:val="nil"/>
              <w:left w:val="nil"/>
              <w:bottom w:val="nil"/>
              <w:right w:val="nil"/>
              <w:between w:val="nil"/>
            </w:pBdr>
            <w:tabs>
              <w:tab w:val="center" w:pos="4320"/>
              <w:tab w:val="right" w:pos="8640"/>
            </w:tabs>
            <w:rPr>
              <w:rFonts w:ascii="Arial" w:eastAsia="Arial" w:hAnsi="Arial" w:cs="Arial"/>
              <w:color w:val="000000"/>
              <w:sz w:val="18"/>
              <w:szCs w:val="18"/>
            </w:rPr>
          </w:pPr>
        </w:p>
      </w:tc>
    </w:tr>
  </w:tbl>
  <w:p w:rsidR="00491789" w:rsidRDefault="0049178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E0865"/>
    <w:multiLevelType w:val="multilevel"/>
    <w:tmpl w:val="7D98A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81835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789"/>
    <w:rsid w:val="002E624C"/>
    <w:rsid w:val="00424B19"/>
    <w:rsid w:val="00491789"/>
    <w:rsid w:val="00517FA0"/>
    <w:rsid w:val="00AF5F02"/>
    <w:rsid w:val="00F07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5CC0A"/>
  <w15:docId w15:val="{D2C87039-7CB8-4A1F-BB0E-4C7F13539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6"/>
      <w:szCs w:val="36"/>
    </w:rPr>
  </w:style>
  <w:style w:type="paragraph" w:styleId="Heading2">
    <w:name w:val="heading 2"/>
    <w:basedOn w:val="Normal"/>
    <w:next w:val="Normal"/>
    <w:uiPriority w:val="9"/>
    <w:unhideWhenUsed/>
    <w:qFormat/>
    <w:pPr>
      <w:keepNext/>
      <w:pBdr>
        <w:bottom w:val="single" w:sz="4" w:space="1" w:color="000080"/>
      </w:pBdr>
      <w:spacing w:before="120" w:after="12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Ro6lZEHT1yA14Via3G5JocCIQ==">CgMxLjA4AHIhMWUtVmg4NnBqeWVQQlM4LVZiTTRSbktjUVk2M0c5c25r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Thacker</cp:lastModifiedBy>
  <cp:revision>2</cp:revision>
  <dcterms:created xsi:type="dcterms:W3CDTF">2024-05-28T12:40:00Z</dcterms:created>
  <dcterms:modified xsi:type="dcterms:W3CDTF">2024-05-28T21:00:00Z</dcterms:modified>
</cp:coreProperties>
</file>